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  <w:ind w:left="0" w:firstLine="708"/>
        <w:jc w:val="both"/>
        <w:spacing w:after="0" w:line="240" w:lineRule="auto"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  <w:lang w:val="en-US"/>
        </w:rPr>
        <w:t xml:space="preserve">                                                               </w:t>
      </w:r>
      <w:r>
        <w:rPr>
          <w:sz w:val="18"/>
          <w:szCs w:val="18"/>
        </w:rPr>
        <w:t xml:space="preserve"> </w:t>
      </w:r>
      <w:r>
        <w:t xml:space="preserve">ПОЯСНИТЕЛЬНАЯ ЗАПИСКА</w:t>
      </w:r>
      <w:r>
        <w:rPr>
          <w:sz w:val="18"/>
          <w:szCs w:val="18"/>
          <w:highlight w:val="none"/>
        </w:rPr>
      </w:r>
      <w:r/>
    </w:p>
    <w:p>
      <w:pPr>
        <w:pStyle w:val="921"/>
        <w:ind w:left="0" w:firstLine="708"/>
        <w:jc w:val="center"/>
        <w:spacing w:after="0" w:line="24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358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6-20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в феврале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года.</w:t>
      </w:r>
      <w:r>
        <w:rPr>
          <w:sz w:val="28"/>
          <w:szCs w:val="28"/>
        </w:rPr>
      </w:r>
      <w:r/>
    </w:p>
    <w:p>
      <w:pPr>
        <w:pStyle w:val="91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3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 №</w:t>
      </w:r>
      <w:r>
        <w:rPr>
          <w:sz w:val="28"/>
          <w:szCs w:val="28"/>
        </w:rPr>
        <w:t xml:space="preserve"> 358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7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 </w:t>
      </w:r>
      <w:r>
        <w:rPr>
          <w:sz w:val="28"/>
          <w:szCs w:val="28"/>
        </w:rPr>
        <w:t xml:space="preserve">по прочим </w:t>
      </w:r>
      <w:r>
        <w:rPr>
          <w:sz w:val="28"/>
          <w:szCs w:val="28"/>
        </w:rPr>
        <w:t xml:space="preserve">доходам Колыванского района  в том числе платных услуг казенных учреждений на сумму  1120 тысяч рублей (распределены в расходной части бюджета, согласно заявкам руководителей данных учреждений МКУ ЕДДС, МКУ «Районный клуб физической культуры и спорта» )</w:t>
      </w:r>
      <w:r>
        <w:rPr>
          <w:sz w:val="28"/>
          <w:szCs w:val="28"/>
        </w:rPr>
        <w:t xml:space="preserve">, а также уточнены коды бюжетной классификации доходов.</w:t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выделены дополнительные  бюджетные ассигнования , в том числе :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1. Общегосударственные  расходы- 2222,2 тысяч рублей ( приобретение основных средств- оргтехника, машина  в управление образования, канцелярские товары, командировочные расходы). </w:t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 ЖКХ- </w:t>
      </w:r>
      <w:r>
        <w:rPr>
          <w:sz w:val="28"/>
          <w:szCs w:val="28"/>
          <w:highlight w:val="none"/>
        </w:rPr>
        <w:t xml:space="preserve">2232,0 тысяч рублей (субсидия МУП «Коммунальное хозяйство» для оплаты за  поставленный уголь, </w:t>
      </w:r>
      <w:r>
        <w:rPr>
          <w:rFonts w:ascii="Times New Roman" w:hAnsi="Times New Roman" w:cs="Times New Roman"/>
          <w:sz w:val="28"/>
          <w:szCs w:val="28"/>
        </w:rPr>
        <w:t xml:space="preserve">оплата работ по бурению методом ГНБ для прокладки</w:t>
      </w:r>
      <w:r>
        <w:rPr>
          <w:rFonts w:ascii="Times New Roman" w:hAnsi="Times New Roman" w:cs="Times New Roman"/>
          <w:sz w:val="28"/>
          <w:szCs w:val="28"/>
        </w:rPr>
        <w:t xml:space="preserve"> водопровода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ьюны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Вьюнского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195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>
        <w:rPr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кала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Скалинского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95</w:t>
      </w:r>
      <w:r>
        <w:rPr>
          <w:rFonts w:ascii="Times New Roman" w:hAnsi="Times New Roman" w:cs="Times New Roman"/>
          <w:sz w:val="28"/>
          <w:szCs w:val="28"/>
        </w:rPr>
        <w:t xml:space="preserve"> метров, подготовка градостроительных планов</w:t>
      </w:r>
      <w:r>
        <w:rPr>
          <w:sz w:val="28"/>
          <w:szCs w:val="28"/>
          <w:highlight w:val="none"/>
        </w:rPr>
        <w:t xml:space="preserve">).</w:t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3. Охрана окружающей среды -  3667,5 тысяч рублей ( целевые средства в целях  реализации  муниципальной программы Колыванского района  «Экология и охрана окружающей среды).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4. Образование -</w:t>
      </w:r>
      <w:r>
        <w:rPr>
          <w:sz w:val="28"/>
          <w:szCs w:val="28"/>
          <w:highlight w:val="none"/>
        </w:rPr>
        <w:t xml:space="preserve"> 10119,5 тысяч </w:t>
      </w:r>
      <w:r>
        <w:rPr>
          <w:sz w:val="28"/>
          <w:szCs w:val="28"/>
          <w:highlight w:val="none"/>
        </w:rPr>
        <w:t xml:space="preserve">рублей (устранение предписаний прокуратуры  в учреждениях образования, установка систем тревожных кнопок вучреждениях образования, подготовка проектно-сметной документации по кровле  для деского сада «Радуга», увеличение материальных затрат в учреждениях  </w:t>
      </w:r>
      <w:r>
        <w:rPr>
          <w:sz w:val="28"/>
          <w:szCs w:val="28"/>
        </w:rPr>
        <w:t xml:space="preserve">образования). </w:t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5. Культура -513,3 тысяч рублей </w:t>
      </w:r>
      <w:r>
        <w:rPr>
          <w:sz w:val="28"/>
          <w:szCs w:val="28"/>
          <w:highlight w:val="none"/>
        </w:rPr>
        <w:t xml:space="preserve">( МП «Культура Колыванского района» прочие расходы ).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6. Спорт- 480,0 тысяч рублей</w:t>
      </w:r>
      <w:r>
        <w:rPr>
          <w:sz w:val="28"/>
          <w:szCs w:val="28"/>
          <w:highlight w:val="none"/>
        </w:rPr>
        <w:t xml:space="preserve"> (МП «Развитие физической культуры и спорта» прочие расходы).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Выделены дополнительные средства в виде иных межбюджетный трансфертов на сбалансированность для МО р.п. Колывань- 700,0 тысяч рублей для подготовки объектов в зимний период.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Выделены дополнительные средства в виде иных межбюджетных трансфертов на сбалансированность для МО Новотырышкинского сельсовета- 700 тысяч рублей для  проведения капитального ремонта кровли  в доме культуры. 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Кроме того,  учтено внутреннее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перераспределение бюджетных ассигнований по заявкам и ходатайствам руководителей  муниципальных учреждений Колыванского района, в  связи с уточнением целевого использования бюджетных ассигнований, в том числе с учетом потребностей мунициипальных поселений.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2025 год </w:t>
      </w:r>
      <w:r>
        <w:rPr>
          <w:sz w:val="28"/>
          <w:szCs w:val="28"/>
        </w:rPr>
        <w:t xml:space="preserve">составит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</w:rPr>
        <w:t xml:space="preserve">2 329 741,7</w:t>
      </w:r>
      <w:r>
        <w:rPr>
          <w:b w:val="0"/>
          <w:bCs w:val="0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тысяч рублей ,  в плановом периоде без изменений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2025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sz w:val="28"/>
          <w:szCs w:val="28"/>
        </w:rPr>
        <w:t xml:space="preserve"> 2 372 737,9 тысяч рублей</w:t>
      </w:r>
      <w:r>
        <w:rPr>
          <w:bCs/>
          <w:sz w:val="28"/>
          <w:szCs w:val="28"/>
        </w:rPr>
        <w:t xml:space="preserve">,  в плановом периоде без изменений</w:t>
      </w:r>
      <w:r>
        <w:rPr>
          <w:bCs/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2025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42996,2  тысяч рублей</w:t>
      </w:r>
      <w:r>
        <w:rPr>
          <w:bCs/>
          <w:sz w:val="28"/>
          <w:szCs w:val="28"/>
        </w:rPr>
        <w:t xml:space="preserve">, что  не превышает предельно допустимые значения, согласно требованиям бюджетного законодательства.</w:t>
      </w:r>
      <w:r>
        <w:rPr>
          <w:bCs/>
          <w:sz w:val="28"/>
          <w:szCs w:val="28"/>
        </w:rPr>
        <w:t xml:space="preserve"> В плановом периоде 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768"/>
        <w:tblW w:w="0" w:type="auto"/>
        <w:tblLayout w:type="fixed"/>
        <w:tblLook w:val="04A0" w:firstRow="1" w:lastRow="0" w:firstColumn="1" w:lastColumn="0" w:noHBand="0" w:noVBand="1"/>
      </w:tblPr>
      <w:tblGrid>
        <w:gridCol w:w="2295"/>
        <w:gridCol w:w="5500"/>
        <w:gridCol w:w="1984"/>
        <w:gridCol w:w="2126"/>
        <w:gridCol w:w="2693"/>
      </w:tblGrid>
      <w:tr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                                   </w:t>
            </w:r>
            <w:r>
              <w:t xml:space="preserve">(тыс.руб.</w:t>
            </w:r>
            <w:r>
              <w:t xml:space="preserve">)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Код вида дохода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Наименование групп, подгрупп,  статей доходов, подстатей, элементов, кодов подвидов 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2026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2027 год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Налоговые доходы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387 845,90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353 089,40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382 593,50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287 416,70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246 952,40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267 403,50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287 416,70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246 952,40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267 403,50</w:t>
            </w:r>
            <w:r/>
          </w:p>
        </w:tc>
      </w:tr>
      <w:tr>
        <w:trPr>
          <w:trHeight w:val="38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t xml:space="preserve">1</w:t>
            </w:r>
            <w:r>
              <w:t xml:space="preserve"> и 228 Налогового кодекса Российской Федерации, а также доходов от долевого участия в </w:t>
            </w:r>
            <w:r>
              <w:t xml:space="preserve"> организации, полученных физическим лицом - налоговым резидентом Российской Федерации в виде дивидендов (в части суммы налога, не превышающей  650 тысяч рублей за налоговые периоды  до 1 января 2025 года, а также в части суммы налога, не превышающей 312 ты</w:t>
            </w:r>
            <w:r>
              <w:t xml:space="preserve"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283 711,00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242 965,10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263 101,20</w:t>
            </w:r>
            <w:r/>
          </w:p>
        </w:tc>
      </w:tr>
      <w:tr>
        <w:trPr>
          <w:trHeight w:val="19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000 101 02040 01 1000 110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</w:t>
            </w:r>
            <w:r>
              <w:t xml:space="preserve">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61,40</w:t>
            </w:r>
            <w:r/>
          </w:p>
        </w:tc>
      </w:tr>
      <w:tr>
        <w:trPr>
          <w:trHeight w:val="79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000 101 02080 01 1000 110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</w:t>
            </w:r>
            <w:r>
              <w:t xml:space="preserve">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                               лицом - налоговым резиде</w:t>
            </w:r>
            <w:r>
              <w:t xml:space="preserve">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</w:t>
            </w:r>
            <w:r>
              <w:t xml:space="preserve">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r>
              <w:t xml:space="preserve">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</w:t>
            </w:r>
            <w:r>
              <w:t xml:space="preserve">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</w:t>
            </w:r>
            <w:r>
              <w:t xml:space="preserve">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                                              1 января 2025 года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3 652,80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3 930,40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4 240,90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8 508,00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8 845,00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12 210,00</w:t>
            </w:r>
            <w:r/>
          </w:p>
        </w:tc>
      </w:tr>
      <w:tr>
        <w:trPr>
          <w:trHeight w:val="5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000 103 02000 01 0000 110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8 508,00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8 845,00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12 210,00</w:t>
            </w:r>
            <w:r/>
          </w:p>
        </w:tc>
      </w:tr>
      <w:tr>
        <w:trPr>
          <w:trHeight w:val="20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000 103 02231 01 0000 110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4 151,60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4 396,20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6 106,90</w:t>
            </w:r>
            <w:r/>
          </w:p>
        </w:tc>
      </w:tr>
      <w:tr>
        <w:trPr>
          <w:trHeight w:val="22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000 103 02241 01 0000 110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37,10</w:t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000 103 02251 01 0000 110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4 825,00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4 928,30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6 719,70</w:t>
            </w:r>
            <w:r/>
          </w:p>
        </w:tc>
      </w:tr>
      <w:tr>
        <w:trPr>
          <w:trHeight w:val="20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000 103 02261 01 0000 110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-495,70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-507,00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-653,70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74 604,00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79 916,00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85 545,00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70 448,00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75 590,00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81 033,00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000 105 01011 01 1000 110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50 448,00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55 590,00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61 033,00</w:t>
            </w:r>
            <w:r/>
          </w:p>
        </w:tc>
      </w:tr>
      <w:tr>
        <w:trPr>
          <w:trHeight w:val="15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000 105 01021 01 1000 110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</w:t>
            </w:r>
            <w: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20 000,00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000 105 03000 00 0000 110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000 105 03010 01 1000 110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000 105 04000 00 0000 110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4 156,00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4 512,00</w:t>
            </w:r>
            <w:r/>
          </w:p>
        </w:tc>
      </w:tr>
      <w:tr>
        <w:trPr>
          <w:trHeight w:val="11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000 105 04020 02 1000 110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4 156,00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4 512,00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12 569,30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12 628,10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12 687,10</w:t>
            </w:r>
            <w:r/>
          </w:p>
        </w:tc>
      </w:tr>
      <w:tr>
        <w:trPr>
          <w:trHeight w:val="33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000 106 04000 02 0000 110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12 569,30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12 628,10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12 687,10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000 106 04011 02 1000 110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1 421,30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1 475,40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1 531,00</w:t>
            </w:r>
            <w:r/>
          </w:p>
        </w:tc>
      </w:tr>
      <w:tr>
        <w:trPr>
          <w:trHeight w:val="10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000 106 04012 02 1000 110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11 148,00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11 152,70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11 156,10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000 108 00000 00 0000 000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</w:tr>
      <w:tr>
        <w:trPr>
          <w:trHeight w:val="7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000 108 03010 01 0000 110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4 747,90</w:t>
            </w:r>
            <w:r/>
          </w:p>
        </w:tc>
      </w:tr>
      <w:tr>
        <w:trPr>
          <w:trHeight w:val="4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Неналоговые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21694,0+1120,0= 22814,0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21 906,80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21 812,30</w:t>
            </w:r>
            <w:r/>
          </w:p>
        </w:tc>
      </w:tr>
      <w:tr>
        <w:trPr>
          <w:trHeight w:val="58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8 086,90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8 083,40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7 907,90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000 111 05013 05 0000 120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</w:t>
            </w:r>
            <w: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7 130,30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7 130,30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7 054,80</w:t>
            </w:r>
            <w:r/>
          </w:p>
        </w:tc>
      </w:tr>
      <w:tr>
        <w:trPr>
          <w:trHeight w:val="13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000 111 05013 13 0000 120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Доходы, полу</w:t>
            </w:r>
            <w: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000 111 05025 05 0000 120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432,00</w:t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000 111 05035 05 0000 120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224,60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221,10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221,10</w:t>
            </w:r>
            <w:r/>
          </w:p>
        </w:tc>
      </w:tr>
      <w:tr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Платежи при пользовании природными ресурсами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1 666,20</w:t>
            </w:r>
            <w:r/>
          </w:p>
        </w:tc>
      </w:tr>
      <w:tr>
        <w:trPr>
          <w:trHeight w:val="10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000 112 01010 01 6000 120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1 646,20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000 112 01041 01 6000 120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3469,3+1120,0= 4589,3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3 707,40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3 948,90</w:t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000 113 01995 05 0012 130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800,00</w:t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000 113 01995 05 0013 130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"Единая дежурная диспечерская служба»)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0+450=450,0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000 113 01995 05 0014 130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2 140,00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2 290,00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2 442,00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000 113 01995 05 0015 130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484,3+670,0= 1154,3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517,40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551,90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000 113 02065 05 0000 130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155,00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000 114 00000 00 0000 000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</w:tr>
      <w:tr>
        <w:trPr>
          <w:trHeight w:val="16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000 114 02053 05 0000 410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Доходы от реализации иного имущества, находящ</w:t>
            </w:r>
            <w: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7 003,60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1 468,00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1 446,20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1 285,70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000 116 01053 01 0000 140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</w:t>
            </w:r>
            <w: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48,00</w:t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000 116 01063 01 0000 140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6 Кодекса Российской Федерации об админ</w:t>
            </w:r>
            <w: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110,00</w:t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000 116 01073 01 0000 140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Администр</w:t>
            </w:r>
            <w: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60,00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000 116 01083 01 0000 140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Административные штрафы, установл</w:t>
            </w:r>
            <w: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000 116 01133 01 0000 140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</w:t>
            </w:r>
            <w:r>
              <w:t xml:space="preserve">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20,00</w:t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000 116 01143 01 0000 140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14 Кодекса Российско</w:t>
            </w:r>
            <w: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15,00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000 116 01193 01 0000 140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</w:t>
            </w:r>
            <w: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45,00</w:t>
            </w:r>
            <w:r/>
          </w:p>
        </w:tc>
      </w:tr>
      <w:tr>
        <w:trPr>
          <w:trHeight w:val="162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000 116 01203 01 0000 140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Административные штрафы, установленные глав</w:t>
            </w:r>
            <w: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330,00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000 116 07010 05 0000 140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498,20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337,70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000 116 07090 05 0000 140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30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000 116 11050 01 0000 140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Платежи по искам о возмещении вреда, причиненного окружающей среде, а также платежи, уплачи</w:t>
            </w:r>
            <w:r>
              <w:t xml:space="preserve">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 атмосферному воздух</w:t>
            </w:r>
            <w:r>
              <w:t xml:space="preserve">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220,00</w:t>
            </w:r>
            <w:r/>
          </w:p>
        </w:tc>
      </w:tr>
      <w:tr>
        <w:trPr>
          <w:trHeight w:val="5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Всего доходов налоговых и неналоговых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409539,0+1120,0= 410659,0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374 996,20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404 405,80</w:t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200 000 00000 00 0000 000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Безвозмездные поступления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1 919 081,80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1 392 446,50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1 503 765,10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Дотация  бюджетам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103 884,30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60 909,90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66 132,70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000 202 15001 05 0000 150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Дотации бюджетам муниципальных районов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103 884,30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60 909,90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66 132,70</w:t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785 358,70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207 105,40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196 640,20</w:t>
            </w:r>
            <w:r/>
          </w:p>
        </w:tc>
      </w:tr>
      <w:tr>
        <w:trPr>
          <w:trHeight w:val="12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83 316,50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48 979,60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15 830,10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000 202 20077 05 0000 150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</w:t>
            </w:r>
            <w:r>
              <w:t xml:space="preserve">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28 266,10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7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000 202 20216 05 0000 150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у</w:t>
            </w:r>
            <w: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151 817,80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34 041,80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39 219,50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000 202 25154 05 0000 150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коммунальной инфраструктуры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76 033,00</w:t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000 202 25304 05 0000 150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организацию бесплатного горячего питани</w:t>
            </w:r>
            <w: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17 366,70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18 060,00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18 782,20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000 202 25467 05 0000 150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1 178,60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1 344,30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1 246,40</w:t>
            </w:r>
            <w:r/>
          </w:p>
        </w:tc>
      </w:tr>
      <w:tr>
        <w:trPr>
          <w:trHeight w:val="12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000 202 25519 05 0000 150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289,70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290,10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285,80</w:t>
            </w:r>
            <w:r/>
          </w:p>
        </w:tc>
      </w:tr>
      <w:tr>
        <w:trPr>
          <w:trHeight w:val="139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000 202 25527 05 0000 150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404,40</w:t>
            </w:r>
            <w:r/>
          </w:p>
        </w:tc>
      </w:tr>
      <w:tr>
        <w:trPr>
          <w:trHeight w:val="12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000 202 25750 05 0000 150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53 116,30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</w:t>
            </w:r>
            <w:r>
              <w:t xml:space="preserve">я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16 500,00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7 802,40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софинансирован</w:t>
            </w:r>
            <w: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осуществление полномочий по организации регулярных</w:t>
            </w:r>
            <w: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11 665,40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23 805,30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30 781,30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30 781,30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жилыми помещениями многодетных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15 400,00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9 800,00</w:t>
            </w:r>
            <w:r/>
          </w:p>
        </w:tc>
      </w:tr>
      <w:tr>
        <w:trPr>
          <w:trHeight w:val="19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подготовке  градостроительной документации и (или)</w:t>
            </w:r>
            <w: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12 875,20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0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396 744,70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000 202 29999 05 0000 150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Субсидия на обустройство (создание</w:t>
            </w:r>
            <w:r>
              <w:t xml:space="preserve">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1476,00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000 202 30000 00 0000 150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966 121,10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1 058 840,60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1 177 000,70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359 364,10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394 082,40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425 475,00</w:t>
            </w:r>
            <w:r/>
          </w:p>
        </w:tc>
      </w:tr>
      <w:tr>
        <w:trPr>
          <w:trHeight w:val="14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18 808,60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18 539,20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18 539,20</w:t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2 322,00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1 879,00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1 879,00</w:t>
            </w:r>
            <w:r/>
          </w:p>
        </w:tc>
      </w:tr>
      <w:tr>
        <w:trPr>
          <w:trHeight w:val="11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57 887,50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67 508,80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68 768,30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59 820,80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65 148,80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70 601,60</w:t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132,30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</w:tr>
      <w:tr>
        <w:trPr>
          <w:trHeight w:val="10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100 761,30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69 930,20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75 572,30</w:t>
            </w:r>
            <w:r/>
          </w:p>
        </w:tc>
      </w:tr>
      <w:tr>
        <w:trPr>
          <w:trHeight w:val="33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получения образования обучающими</w:t>
            </w:r>
            <w:r>
              <w:t xml:space="preserve">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</w:t>
            </w:r>
            <w:r>
              <w:t xml:space="preserve">с тяжелыми нарушениями речи, с нарушениями опорно-двигательного аппарата, с задержкой психического развития, с умственной осталостью,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144 846,40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149 410,20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156 980,60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149 326,90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169 407,90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187 882,20</w:t>
            </w:r>
            <w:r/>
          </w:p>
        </w:tc>
      </w:tr>
      <w:tr>
        <w:trPr>
          <w:trHeight w:val="14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</w:t>
            </w:r>
            <w:r>
              <w:t xml:space="preserve"> на осуществление отдельных государственных полномочий Новосибирской области поосуществлению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446,90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2 831,60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</w:t>
            </w:r>
            <w:r>
              <w:t xml:space="preserve">мочий Новосибирской области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9 910,20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8 918,60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7 729,80</w:t>
            </w:r>
            <w:r/>
          </w:p>
        </w:tc>
      </w:tr>
      <w:tr>
        <w:trPr>
          <w:trHeight w:val="136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000 202 30024 05 0000 150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331,70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3 648,20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1 990,00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000 202 35082 05 0000 150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пообеспечению жилыми помещениями детей-сирот и детей, оставшихся без попечения родителей, лиц 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55 337,30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102 527,40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153 650,10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000 202 35118 05 0000 150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полномочий  по первичному воинскому учету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3 971,20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4 344,00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4 500,00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000 202 35120 05 0000 150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12,30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11,80</w:t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00020240000000000150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63 717,70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65 590,60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63 991,50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000 202 40014 05 0000 150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000 202 40014 05 0000 150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790,20</w:t>
            </w:r>
            <w:r/>
          </w:p>
        </w:tc>
      </w:tr>
      <w:tr>
        <w:trPr>
          <w:trHeight w:val="27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000 202 4505005 0000 150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</w:t>
            </w:r>
            <w:r>
              <w:t xml:space="preserve">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2 050,60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000 202 4517905 0000 150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0+4536,6= 4536,6</w:t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000 202 45303 05 0000 150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ежемесячное денежное вознагражде</w:t>
            </w:r>
            <w: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42 841,00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43 403,40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43 403,40</w:t>
            </w:r>
            <w:r/>
          </w:p>
        </w:tc>
      </w:tr>
      <w:tr>
        <w:trPr>
          <w:trHeight w:val="18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4536,6-4536,6=0</w:t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2 621,80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обеспечение проезда детей и совершеннолетних граждан-сопро</w:t>
            </w:r>
            <w: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14,10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8 005,30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11 969,20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10 370,10</w:t>
            </w:r>
            <w:r/>
          </w:p>
        </w:tc>
      </w:tr>
      <w:tr>
        <w:trPr>
          <w:trHeight w:val="136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000 202 49999 05 0000 150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r>
              <w:t xml:space="preserve">2 653,40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00" w:type="dxa"/>
            <w:textDirection w:val="lrTb"/>
            <w:noWrap w:val="false"/>
          </w:tcPr>
          <w:p>
            <w:r>
              <w:t xml:space="preserve">Итого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rPr>
                <w:rFonts w:ascii="undefined" w:hAnsi="undefined" w:cs="undefined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</w:rPr>
            </w:pPr>
            <w:r>
              <w:t xml:space="preserve">2328621,7+1120,0=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</w:rPr>
              <w:t xml:space="preserve"> 2 329 741,7</w:t>
            </w:r>
            <w:r>
              <w:rPr>
                <w:rFonts w:ascii="undefined" w:hAnsi="undefined" w:cs="undefined"/>
                <w:b w:val="0"/>
                <w:bCs w:val="0"/>
                <w:i w:val="0"/>
                <w:strike w:val="0"/>
                <w:color w:val="000000"/>
                <w:sz w:val="28"/>
                <w:szCs w:val="28"/>
                <w:u w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r>
              <w:t xml:space="preserve">1 767 442,70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93" w:type="dxa"/>
            <w:textDirection w:val="lrTb"/>
            <w:noWrap w:val="false"/>
          </w:tcPr>
          <w:p>
            <w:r>
              <w:t xml:space="preserve">1 908 170,90</w:t>
            </w:r>
            <w:r/>
          </w:p>
        </w:tc>
      </w:tr>
    </w:tbl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Изменение  бюджетных ассигнований бюджета Колыванского района по разделам, подразделам, целевым статьям (муниципальным программ и непрограммным направлениям деятельности) группам и подгруппам видов расходов классификации расходов бюджета на 2024 год</w:t>
      </w:r>
      <w:r>
        <w:rPr>
          <w:sz w:val="28"/>
          <w:szCs w:val="28"/>
        </w:rPr>
      </w:r>
      <w:r/>
    </w:p>
    <w:tbl>
      <w:tblPr>
        <w:tblStyle w:val="768"/>
        <w:tblW w:w="0" w:type="auto"/>
        <w:tblLook w:val="04A0" w:firstRow="1" w:lastRow="0" w:firstColumn="1" w:lastColumn="0" w:noHBand="0" w:noVBand="1"/>
      </w:tblPr>
      <w:tblGrid>
        <w:gridCol w:w="5085"/>
        <w:gridCol w:w="945"/>
        <w:gridCol w:w="975"/>
        <w:gridCol w:w="1260"/>
        <w:gridCol w:w="945"/>
        <w:gridCol w:w="1800"/>
        <w:gridCol w:w="1890"/>
        <w:gridCol w:w="1890"/>
        <w:gridCol w:w="1935"/>
      </w:tblGrid>
      <w:tr>
        <w:trPr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vMerge w:val="restart"/>
            <w:textDirection w:val="lrTb"/>
            <w:noWrap w:val="false"/>
          </w:tcPr>
          <w:p>
            <w:r>
              <w:t xml:space="preserve">Наименование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Merge w:val="restart"/>
            <w:textDirection w:val="lrTb"/>
            <w:noWrap w:val="false"/>
          </w:tcPr>
          <w:p>
            <w:r>
              <w:t xml:space="preserve">РЗ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Merge w:val="restart"/>
            <w:textDirection w:val="lrTb"/>
            <w:noWrap w:val="false"/>
          </w:tcPr>
          <w:p>
            <w:r>
              <w:t xml:space="preserve">ПР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vMerge w:val="restart"/>
            <w:textDirection w:val="lrTb"/>
            <w:noWrap w:val="false"/>
          </w:tcPr>
          <w:p>
            <w:r>
              <w:t xml:space="preserve">ЦСР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Merge w:val="restart"/>
            <w:textDirection w:val="lrTb"/>
            <w:noWrap w:val="false"/>
          </w:tcPr>
          <w:p>
            <w:r>
              <w:t xml:space="preserve">ВР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Сумма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увеличение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уменьшение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 утверждению</w:t>
            </w:r>
            <w:r/>
            <w:r/>
          </w:p>
        </w:tc>
      </w:tr>
      <w:tr>
        <w:trPr>
          <w:trHeight w:val="27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2025 год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2025 год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1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4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8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240 009,3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2908,1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242917,4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3 928,1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3 928,1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функционирования высшего должностного лица муниципального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3 928,1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3 928,1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3 278,9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3 278,9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9900001990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421,3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421,3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9900004110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2 857,6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2 857,6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71 942,7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589,2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72531,9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62 507,6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589,2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63096,8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56 324,8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56524,8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5 545,4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389,2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5934,6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637,4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637,4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Создание и осуществление деятельности комиссий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2 322,0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2 322,0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1 857,6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1 857,6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464,4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464,4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3 158,4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3 158,4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2 725,4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2 725,4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433,0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433,0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8,7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Субвенции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1,2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446,9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446,9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426,9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426,9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132,3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131,3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3 365,6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3 365,6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3 070,0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3 070,0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295,6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295,6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9900051200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4 203,2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4 203,2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3 413,0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3 413,0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3 404,0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3 404,0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функций по внутреннему контролю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790,2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790,2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719,0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719,0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9900010042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71,2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3 422,5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3 422,5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3 422,5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3 422,5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Резервные фонды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6 300,0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6 300,0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6 300,0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6 300,0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146 921,6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2318,9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149240,5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2820010120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39 048,4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2018,9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41067,3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2820010120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35 007,1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35007,1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2820010120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3 983,0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2018,9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6001,9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2820010120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58,3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2900070610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2900070610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29000S0610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10,1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29000S0610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10,1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230,0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530,0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230,0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530,0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74 908,2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74 908,2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70 804,8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70 804,8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4 078,4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4 078,4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Прочие расходы по отдельным (разовым) решениям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10 757,7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10 757,7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10 757,7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10 757,7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21 347,4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21 347,4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21 347,4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21 347,4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9900051180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3 971,2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11 735,5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11 735,5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11 735,5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11 735,5</w:t>
            </w:r>
            <w:r/>
            <w:r/>
          </w:p>
        </w:tc>
      </w:tr>
      <w:tr>
        <w:trPr>
          <w:trHeight w:val="20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Осуществление мероприятий в рамках реализации муниципальной программы "Организация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Колыванского района Новосибирской области на 2025-2027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1800011010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1800011010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2810010120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11 635,5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11 635,5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2810010120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8 891,2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8 891,2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2810010120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2 744,3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2 744,3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289 152,3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5916,1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295068,4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2 931,6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2 931,6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в рамках муниципальной программы "Развитие сельского хозяйства и регулирование сельскохозяйственных рынков сырья и продовольствия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1900012020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Премии и гранты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1900012020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2 831,6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2 831,6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2 831,6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2 831,6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1800070870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1800070870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83 316,5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Транспорт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11 906,1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11 906,1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2000071100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11 665,4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11 665,4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2000071100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11 665,4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11 665,4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20000S1100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189,7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20000S1100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189,7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9900012030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51,0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9900012030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51,0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172 895,1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5916,1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178811,2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200009Д050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19 543,8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4981,0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24524,8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200009Д050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19 543,8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4981,0 (ост.на нач.года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24524,8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200009Д160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151 817,8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151 817,8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200009Д160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151 817,8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151 817,8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20000SД160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1 533,5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935,1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2468,6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20000SД160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1 533,5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935,1 (ост.)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2468,6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18 103,0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18 103,0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мероприятий, предусмотренных муниципальной программой "Развитие субъектов малого и среднего предпринимательства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0200012200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293,4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293,4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0200012200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0200012200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243,4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243,4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0200070690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404,4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404,4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0200070690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404,4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404,4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02000S0690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6,6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02000S0690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6,6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4 314,0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4 314,0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4 314,0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4 314,0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12 875,2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12 875,2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12 875,2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12 875,2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209,4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209,4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209,4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209,4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141 699,0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1997,0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135831,0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87 129,1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79264,1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9900013120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53,8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9900013120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53,8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55 337,3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47472,3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282,1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282,1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55 055,2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 (на 1004)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47190,2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15 400,0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15400,0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15 400,0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15400,0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15400,0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15400,0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15 830,1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15 830,1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15 830,1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15 830,1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250,5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250,5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257,4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257,4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24 344,1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1997,0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26341,1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0400013200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232,0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402,0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0400013200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232,0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402,0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1765,0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1865,0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165,0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1700,0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5 026,7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5 026,7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2 065,0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2 065,0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2 961,7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2 961,7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18 778,6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18 778,6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5 214,4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5 214,4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13 564,2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13 564,2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48,2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48,2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220,6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220,6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220,6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220,6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Благоустройство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1 500,0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1 476,0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1 476,0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1 476,0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1476,0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28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1476,0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99000S1230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99000S1230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28 725,8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28 266,1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28 266,1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к субсидии на строительство и реконструкция котельных, тепловых сетей, включая вынос водопроводов из каналов тепловой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459,7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99000S0550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459,7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</w:tr>
      <w:tr>
        <w:trPr>
          <w:trHeight w:val="8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Муниципальная программа "Экология и охрана окружающей среды в Колыванском районе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17.0.00.00000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17.0.00.14070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3667,5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1 212 632,1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9908,8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1222540,9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251 610,8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1236,8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252847,6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3 600,0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3 600,0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3 600,0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3 600,0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1236,7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1636,7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1236,7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1636,7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1 702,0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1 702,0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1 702,0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1 702,0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58,6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58,6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664,8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664,8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664,8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664,8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32 919,3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32 919,3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32 919,3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32 919,3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149 326,9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149 326,9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149 326,9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149 326,9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62 939,3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62 939,3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62 939,3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62 939,3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835 451,9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8541,5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843993,4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12 900,0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12 900,0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12 900,0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12 900,0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3 760,0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1041,3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4801,3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1041,3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4501,3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1 187,0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1 187,0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1 187,0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1 187,0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3 418,0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3 418,0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3 418,0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3 418,0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18 143,8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18 143,8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18 143,8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18 143,8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88 643,1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7500,0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96143,1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88 643,1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7500,0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96143,1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359 364,1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359 364,1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359 364,1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359 364,1</w:t>
            </w:r>
            <w:r/>
            <w:r/>
          </w:p>
        </w:tc>
      </w:tr>
      <w:tr>
        <w:trPr>
          <w:trHeight w:val="31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слабослышащих,позднооглохших,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144 846,4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144 846,4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144 846,4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144 846,4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135 902,4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135 902,4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135 902,4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135 902,4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99000L3040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17 649,1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17 649,1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99000L3040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17 649,1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17 649,1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990Ю650500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1 968,6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1 968,6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990Ю650500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1 968,6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1 968,6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990Ю651790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4 536,6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4 536,6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990Ю651790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4 536,6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4 536,6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41 247,4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41 247,4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990Ю653030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41 247,4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41 247,4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990Ю6А0500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82,0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990Ю6А0500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82,0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990Ю6А3030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1 593,6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1 593,6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990Ю6А3030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1 593,6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1 593,6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115 301,9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130,5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115432,4</w:t>
            </w:r>
            <w:r/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130,5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130,5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130,5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130,5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1 646,2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1 646,2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18,7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1 590,1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1 590,1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35 147,5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36547,5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35 147,5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36547,5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78 398,2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76998,2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13 598,6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13598,6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64 799,6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63399,6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2025-2027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0800015400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0800015400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10 155,0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10 155,0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1 941,6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1 941,6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1 941,6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1 941,6</w:t>
            </w:r>
            <w:r/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7 802,4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7 802,4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7 802,4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7 802,4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126,9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05000S0359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126,9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126,9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0600015420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0600015420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1100015430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1100015430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2700015800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2700015800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9900070079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9900070079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14,1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126 294,3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126807,6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Культура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126 294,3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126807,6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240,0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340,0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Стипендии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10000L4670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1 197,8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1 197,8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10000L4670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1 197,8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1 197,8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10000L5190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294,5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294,5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10000L5190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294,5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294,5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10 181,7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10 181,7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10 181,7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10 181,7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16 896,8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16 896,8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15 446,1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15 446,1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728,7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728,7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722,0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722,0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37 913,9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273,3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38187,2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34 753,9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34 753,9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2 662,6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273,3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2935,9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497,4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497,4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59 689,6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59 689,6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25 925,6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25 925,6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33 764,0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33 764,0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137 547,4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145421,4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9900017100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9900017100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2 715,7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64 667,7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64 667,7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56 662,4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56 662,4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56 662,4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56 662,4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990Я451630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8 005,3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8 005,3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990Я451630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8 005,3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8 005,3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5 731,9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5 731,9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03000L4979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2 746,8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2 746,8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03000L4979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2 746,8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2 746,8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</w:tr>
      <w:tr>
        <w:trPr>
          <w:trHeight w:val="45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331,7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по улучшению жилищных условий граждан, проживающих на сельских территориях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99000L5761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2 653,4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2 653,4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99000L5761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2 653,4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2 653,4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64 432,1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72297,1</w:t>
            </w:r>
            <w:r/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Предоставление гражданам, имеющих трех и более детей, в том числе принятых тпод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9 910,2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9 910,2</w:t>
            </w:r>
            <w:r/>
            <w:r/>
          </w:p>
        </w:tc>
      </w:tr>
      <w:tr>
        <w:trPr>
          <w:trHeight w:val="48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9910,2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9 910,2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9900071229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9 910,2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9910,2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выплаты населению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 (с 0501)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9910000000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14 557,0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14 557,0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9910070289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14 557,0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14 557,0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9920000000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32 025,7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32 025,7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9920070289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32 025,7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32 025,7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9930000000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7 939,2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7 939,2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9930070289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7 939,2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7 939,2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61 509,2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1360,7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62869,9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Массовый 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37 388,2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1150,0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38538,2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0900018100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480,0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580,0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0900018100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480,0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580,0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37 288,2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670,0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37958,2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29 847,4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29 847,4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3 298,8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670,0 (ПД)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3968,8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4 142,0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4 142,0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24 121,0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210,7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24331,7</w:t>
            </w:r>
            <w:r/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210,7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210,7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210,7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210,7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0500070510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70,0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4 954,2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4 954,2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4 954,2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4 954,2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19 096,8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19 096,8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19 096,8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19 096,8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ОБСЛУЖИВАНИЕ ГОСУДАРСТВЕННОГО (МУНИЦИПАЛЬНОГО)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9977,8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Обслуживание государственного (муниципального) внутреннего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9977,8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730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4 817,5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9900019100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9900019100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730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5160,3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110 538,3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111938,3</w:t>
            </w:r>
            <w:r/>
            <w:r/>
          </w:p>
        </w:tc>
      </w:tr>
      <w:tr>
        <w:trPr>
          <w:trHeight w:val="69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Дотации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9900070220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100 761,3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9 777,0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11177,0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1500015410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9 757,0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11157,0</w:t>
            </w:r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0" w:type="dxa"/>
            <w:textDirection w:val="lrTb"/>
            <w:noWrap w:val="false"/>
          </w:tcPr>
          <w:p>
            <w:r>
              <w:t xml:space="preserve">9900070510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9 757,0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1400,0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11157,0</w:t>
            </w:r>
            <w:r/>
            <w:r/>
          </w:p>
        </w:tc>
      </w:tr>
      <w:tr>
        <w:trPr>
          <w:trHeight w:val="270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10" w:type="dxa"/>
            <w:textDirection w:val="lrTb"/>
            <w:noWrap w:val="false"/>
          </w:tcPr>
          <w:p>
            <w:r>
              <w:t xml:space="preserve">Итого расходов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0" w:type="dxa"/>
            <w:textDirection w:val="lrTb"/>
            <w:noWrap w:val="false"/>
          </w:tcPr>
          <w:p>
            <w:r>
              <w:t xml:space="preserve">2 339 906,2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40696,8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textDirection w:val="lrTb"/>
            <w:noWrap w:val="false"/>
          </w:tcPr>
          <w:p>
            <w:r>
              <w:t xml:space="preserve">7865,0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2372737,9</w:t>
            </w:r>
            <w:r/>
            <w:r/>
          </w:p>
        </w:tc>
      </w:tr>
    </w:tbl>
    <w:p>
      <w:pPr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undefined">
    <w:panose1 w:val="02000603000000000000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2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2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2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2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2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2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2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2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2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2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2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2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2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2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2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2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2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2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2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2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2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2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2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2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2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2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2"/>
        <w:ind w:left="2520" w:hanging="2160"/>
        <w:tabs>
          <w:tab w:val="num" w:pos="2520" w:leader="none"/>
        </w:tabs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4">
    <w:name w:val="Heading 1"/>
    <w:basedOn w:val="912"/>
    <w:next w:val="912"/>
    <w:link w:val="7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rPr>
      <w:rFonts w:ascii="Arial" w:hAnsi="Arial" w:eastAsia="Arial" w:cs="Arial"/>
      <w:sz w:val="40"/>
      <w:szCs w:val="40"/>
    </w:rPr>
  </w:style>
  <w:style w:type="paragraph" w:styleId="736">
    <w:name w:val="Heading 2"/>
    <w:basedOn w:val="912"/>
    <w:next w:val="912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rPr>
      <w:rFonts w:ascii="Arial" w:hAnsi="Arial" w:eastAsia="Arial" w:cs="Arial"/>
      <w:sz w:val="34"/>
    </w:rPr>
  </w:style>
  <w:style w:type="paragraph" w:styleId="738">
    <w:name w:val="Heading 3"/>
    <w:basedOn w:val="912"/>
    <w:next w:val="912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12"/>
    <w:next w:val="912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12"/>
    <w:next w:val="912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12"/>
    <w:next w:val="912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12"/>
    <w:next w:val="912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12"/>
    <w:next w:val="912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12"/>
    <w:next w:val="912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52">
    <w:name w:val="List Paragraph"/>
    <w:basedOn w:val="912"/>
    <w:uiPriority w:val="34"/>
    <w:qFormat/>
    <w:pPr>
      <w:contextualSpacing/>
      <w:ind w:left="720"/>
    </w:pPr>
  </w:style>
  <w:style w:type="paragraph" w:styleId="753">
    <w:name w:val="No Spacing"/>
    <w:uiPriority w:val="1"/>
    <w:qFormat/>
    <w:pPr>
      <w:spacing w:before="0" w:after="0" w:line="240" w:lineRule="auto"/>
    </w:pPr>
  </w:style>
  <w:style w:type="paragraph" w:styleId="754">
    <w:name w:val="Title"/>
    <w:basedOn w:val="912"/>
    <w:next w:val="912"/>
    <w:link w:val="7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5">
    <w:name w:val="Title Char"/>
    <w:link w:val="754"/>
    <w:uiPriority w:val="10"/>
    <w:rPr>
      <w:sz w:val="48"/>
      <w:szCs w:val="48"/>
    </w:rPr>
  </w:style>
  <w:style w:type="paragraph" w:styleId="756">
    <w:name w:val="Subtitle"/>
    <w:basedOn w:val="912"/>
    <w:next w:val="912"/>
    <w:link w:val="757"/>
    <w:uiPriority w:val="11"/>
    <w:qFormat/>
    <w:pPr>
      <w:spacing w:before="200" w:after="200"/>
    </w:pPr>
    <w:rPr>
      <w:sz w:val="24"/>
      <w:szCs w:val="24"/>
    </w:rPr>
  </w:style>
  <w:style w:type="character" w:styleId="757">
    <w:name w:val="Subtitle Char"/>
    <w:link w:val="756"/>
    <w:uiPriority w:val="11"/>
    <w:rPr>
      <w:sz w:val="24"/>
      <w:szCs w:val="24"/>
    </w:rPr>
  </w:style>
  <w:style w:type="paragraph" w:styleId="758">
    <w:name w:val="Quote"/>
    <w:basedOn w:val="912"/>
    <w:next w:val="912"/>
    <w:link w:val="759"/>
    <w:uiPriority w:val="29"/>
    <w:qFormat/>
    <w:pPr>
      <w:ind w:left="720" w:right="720"/>
    </w:pPr>
    <w:rPr>
      <w:i/>
    </w:rPr>
  </w:style>
  <w:style w:type="character" w:styleId="759">
    <w:name w:val="Quote Char"/>
    <w:link w:val="758"/>
    <w:uiPriority w:val="29"/>
    <w:rPr>
      <w:i/>
    </w:rPr>
  </w:style>
  <w:style w:type="paragraph" w:styleId="760">
    <w:name w:val="Intense Quote"/>
    <w:basedOn w:val="912"/>
    <w:next w:val="912"/>
    <w:link w:val="7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>
    <w:name w:val="Intense Quote Char"/>
    <w:link w:val="760"/>
    <w:uiPriority w:val="30"/>
    <w:rPr>
      <w:i/>
    </w:rPr>
  </w:style>
  <w:style w:type="paragraph" w:styleId="762">
    <w:name w:val="Header"/>
    <w:basedOn w:val="912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3">
    <w:name w:val="Header Char"/>
    <w:link w:val="762"/>
    <w:uiPriority w:val="99"/>
  </w:style>
  <w:style w:type="paragraph" w:styleId="764">
    <w:name w:val="Footer"/>
    <w:basedOn w:val="912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5">
    <w:name w:val="Footer Char"/>
    <w:link w:val="764"/>
    <w:uiPriority w:val="99"/>
  </w:style>
  <w:style w:type="paragraph" w:styleId="766">
    <w:name w:val="Caption"/>
    <w:basedOn w:val="912"/>
    <w:next w:val="9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7">
    <w:name w:val="Caption Char"/>
    <w:basedOn w:val="766"/>
    <w:link w:val="764"/>
    <w:uiPriority w:val="99"/>
  </w:style>
  <w:style w:type="table" w:styleId="7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Hyperlink"/>
    <w:uiPriority w:val="99"/>
    <w:unhideWhenUsed/>
    <w:rPr>
      <w:color w:val="0000ff" w:themeColor="hyperlink"/>
      <w:u w:val="single"/>
    </w:rPr>
  </w:style>
  <w:style w:type="paragraph" w:styleId="895">
    <w:name w:val="footnote text"/>
    <w:basedOn w:val="912"/>
    <w:link w:val="896"/>
    <w:uiPriority w:val="99"/>
    <w:semiHidden/>
    <w:unhideWhenUsed/>
    <w:pPr>
      <w:spacing w:after="40" w:line="240" w:lineRule="auto"/>
    </w:pPr>
    <w:rPr>
      <w:sz w:val="18"/>
    </w:rPr>
  </w:style>
  <w:style w:type="character" w:styleId="896">
    <w:name w:val="Footnote Text Char"/>
    <w:link w:val="895"/>
    <w:uiPriority w:val="99"/>
    <w:rPr>
      <w:sz w:val="18"/>
    </w:rPr>
  </w:style>
  <w:style w:type="character" w:styleId="897">
    <w:name w:val="footnote reference"/>
    <w:uiPriority w:val="99"/>
    <w:unhideWhenUsed/>
    <w:rPr>
      <w:vertAlign w:val="superscript"/>
    </w:rPr>
  </w:style>
  <w:style w:type="paragraph" w:styleId="898">
    <w:name w:val="endnote text"/>
    <w:basedOn w:val="912"/>
    <w:link w:val="899"/>
    <w:uiPriority w:val="99"/>
    <w:semiHidden/>
    <w:unhideWhenUsed/>
    <w:pPr>
      <w:spacing w:after="0" w:line="240" w:lineRule="auto"/>
    </w:pPr>
    <w:rPr>
      <w:sz w:val="20"/>
    </w:rPr>
  </w:style>
  <w:style w:type="character" w:styleId="899">
    <w:name w:val="Endnote Text Char"/>
    <w:link w:val="898"/>
    <w:uiPriority w:val="99"/>
    <w:rPr>
      <w:sz w:val="20"/>
    </w:rPr>
  </w:style>
  <w:style w:type="character" w:styleId="900">
    <w:name w:val="endnote reference"/>
    <w:uiPriority w:val="99"/>
    <w:semiHidden/>
    <w:unhideWhenUsed/>
    <w:rPr>
      <w:vertAlign w:val="superscript"/>
    </w:rPr>
  </w:style>
  <w:style w:type="paragraph" w:styleId="901">
    <w:name w:val="toc 1"/>
    <w:basedOn w:val="912"/>
    <w:next w:val="912"/>
    <w:uiPriority w:val="39"/>
    <w:unhideWhenUsed/>
    <w:pPr>
      <w:ind w:left="0" w:right="0" w:firstLine="0"/>
      <w:spacing w:after="57"/>
    </w:pPr>
  </w:style>
  <w:style w:type="paragraph" w:styleId="902">
    <w:name w:val="toc 2"/>
    <w:basedOn w:val="912"/>
    <w:next w:val="912"/>
    <w:uiPriority w:val="39"/>
    <w:unhideWhenUsed/>
    <w:pPr>
      <w:ind w:left="283" w:right="0" w:firstLine="0"/>
      <w:spacing w:after="57"/>
    </w:pPr>
  </w:style>
  <w:style w:type="paragraph" w:styleId="903">
    <w:name w:val="toc 3"/>
    <w:basedOn w:val="912"/>
    <w:next w:val="912"/>
    <w:uiPriority w:val="39"/>
    <w:unhideWhenUsed/>
    <w:pPr>
      <w:ind w:left="567" w:right="0" w:firstLine="0"/>
      <w:spacing w:after="57"/>
    </w:pPr>
  </w:style>
  <w:style w:type="paragraph" w:styleId="904">
    <w:name w:val="toc 4"/>
    <w:basedOn w:val="912"/>
    <w:next w:val="912"/>
    <w:uiPriority w:val="39"/>
    <w:unhideWhenUsed/>
    <w:pPr>
      <w:ind w:left="850" w:right="0" w:firstLine="0"/>
      <w:spacing w:after="57"/>
    </w:pPr>
  </w:style>
  <w:style w:type="paragraph" w:styleId="905">
    <w:name w:val="toc 5"/>
    <w:basedOn w:val="912"/>
    <w:next w:val="912"/>
    <w:uiPriority w:val="39"/>
    <w:unhideWhenUsed/>
    <w:pPr>
      <w:ind w:left="1134" w:right="0" w:firstLine="0"/>
      <w:spacing w:after="57"/>
    </w:pPr>
  </w:style>
  <w:style w:type="paragraph" w:styleId="906">
    <w:name w:val="toc 6"/>
    <w:basedOn w:val="912"/>
    <w:next w:val="912"/>
    <w:uiPriority w:val="39"/>
    <w:unhideWhenUsed/>
    <w:pPr>
      <w:ind w:left="1417" w:right="0" w:firstLine="0"/>
      <w:spacing w:after="57"/>
    </w:pPr>
  </w:style>
  <w:style w:type="paragraph" w:styleId="907">
    <w:name w:val="toc 7"/>
    <w:basedOn w:val="912"/>
    <w:next w:val="912"/>
    <w:uiPriority w:val="39"/>
    <w:unhideWhenUsed/>
    <w:pPr>
      <w:ind w:left="1701" w:right="0" w:firstLine="0"/>
      <w:spacing w:after="57"/>
    </w:pPr>
  </w:style>
  <w:style w:type="paragraph" w:styleId="908">
    <w:name w:val="toc 8"/>
    <w:basedOn w:val="912"/>
    <w:next w:val="912"/>
    <w:uiPriority w:val="39"/>
    <w:unhideWhenUsed/>
    <w:pPr>
      <w:ind w:left="1984" w:right="0" w:firstLine="0"/>
      <w:spacing w:after="57"/>
    </w:pPr>
  </w:style>
  <w:style w:type="paragraph" w:styleId="909">
    <w:name w:val="toc 9"/>
    <w:basedOn w:val="912"/>
    <w:next w:val="912"/>
    <w:uiPriority w:val="39"/>
    <w:unhideWhenUsed/>
    <w:pPr>
      <w:ind w:left="2268" w:right="0" w:firstLine="0"/>
      <w:spacing w:after="57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next w:val="912"/>
    <w:link w:val="912"/>
    <w:qFormat/>
    <w:rPr>
      <w:sz w:val="28"/>
      <w:lang w:val="ru-RU" w:eastAsia="ru-RU" w:bidi="ar-SA"/>
    </w:rPr>
  </w:style>
  <w:style w:type="character" w:styleId="913">
    <w:name w:val="Основной шрифт абзаца"/>
    <w:next w:val="913"/>
    <w:link w:val="912"/>
    <w:semiHidden/>
  </w:style>
  <w:style w:type="table" w:styleId="914">
    <w:name w:val="Обычная таблица"/>
    <w:next w:val="914"/>
    <w:link w:val="912"/>
    <w:semiHidden/>
    <w:tblPr/>
  </w:style>
  <w:style w:type="numbering" w:styleId="915">
    <w:name w:val="Нет списка"/>
    <w:next w:val="915"/>
    <w:link w:val="912"/>
    <w:uiPriority w:val="99"/>
    <w:semiHidden/>
  </w:style>
  <w:style w:type="paragraph" w:styleId="916">
    <w:name w:val="Знак"/>
    <w:basedOn w:val="912"/>
    <w:next w:val="916"/>
    <w:link w:val="912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7">
    <w:name w:val="Основной текст, Знак, Знак1 Знак,Основной текст1,bt,Основной текст Знак,Знак1 Знак"/>
    <w:basedOn w:val="912"/>
    <w:next w:val="917"/>
    <w:link w:val="918"/>
    <w:pPr>
      <w:jc w:val="both"/>
    </w:pPr>
  </w:style>
  <w:style w:type="character" w:styleId="918">
    <w:name w:val="Основной текст Знак1, Знак Знак, Знак1 Знак Знак,Основной текст1 Знак,bt Знак,Основной текст Знак Знак,Знак1 Знак Знак,Знак Знак"/>
    <w:next w:val="918"/>
    <w:link w:val="917"/>
    <w:rPr>
      <w:sz w:val="28"/>
      <w:lang w:val="ru-RU" w:eastAsia="ru-RU" w:bidi="ar-SA"/>
    </w:rPr>
  </w:style>
  <w:style w:type="table" w:styleId="919">
    <w:name w:val="Сетка таблицы"/>
    <w:basedOn w:val="914"/>
    <w:next w:val="919"/>
    <w:link w:val="912"/>
    <w:uiPriority w:val="39"/>
    <w:tblPr/>
  </w:style>
  <w:style w:type="paragraph" w:styleId="920">
    <w:name w:val="Верхний колонтитул"/>
    <w:basedOn w:val="912"/>
    <w:next w:val="920"/>
    <w:link w:val="936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1">
    <w:name w:val="Основной текст с отступом 2"/>
    <w:basedOn w:val="912"/>
    <w:next w:val="921"/>
    <w:link w:val="912"/>
    <w:pPr>
      <w:ind w:left="283"/>
      <w:spacing w:after="120" w:line="480" w:lineRule="auto"/>
    </w:pPr>
    <w:rPr>
      <w:sz w:val="24"/>
      <w:szCs w:val="24"/>
    </w:rPr>
  </w:style>
  <w:style w:type="paragraph" w:styleId="922">
    <w:name w:val="Заголовок,Название"/>
    <w:basedOn w:val="912"/>
    <w:next w:val="922"/>
    <w:link w:val="934"/>
    <w:uiPriority w:val="10"/>
    <w:qFormat/>
    <w:pPr>
      <w:jc w:val="center"/>
    </w:pPr>
    <w:rPr>
      <w:b/>
      <w:sz w:val="24"/>
    </w:rPr>
  </w:style>
  <w:style w:type="paragraph" w:styleId="923">
    <w:name w:val="ConsNormal"/>
    <w:next w:val="923"/>
    <w:link w:val="912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4">
    <w:name w:val="Нижний колонтитул"/>
    <w:basedOn w:val="912"/>
    <w:next w:val="924"/>
    <w:link w:val="935"/>
    <w:uiPriority w:val="99"/>
    <w:pPr>
      <w:tabs>
        <w:tab w:val="center" w:pos="4677" w:leader="none"/>
        <w:tab w:val="right" w:pos="9355" w:leader="none"/>
      </w:tabs>
    </w:pPr>
  </w:style>
  <w:style w:type="character" w:styleId="925">
    <w:name w:val="Номер страницы"/>
    <w:basedOn w:val="913"/>
    <w:next w:val="925"/>
    <w:link w:val="912"/>
  </w:style>
  <w:style w:type="paragraph" w:styleId="926">
    <w:name w:val="ConsNonformat"/>
    <w:next w:val="926"/>
    <w:link w:val="912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27">
    <w:name w:val="ConsTitle"/>
    <w:next w:val="927"/>
    <w:link w:val="912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28">
    <w:name w:val="Normal1"/>
    <w:next w:val="928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29">
    <w:name w:val="ConsPlusNormal"/>
    <w:next w:val="929"/>
    <w:link w:val="97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0">
    <w:name w:val="ConsPlusNonformat"/>
    <w:next w:val="930"/>
    <w:link w:val="91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PlusTitle"/>
    <w:next w:val="931"/>
    <w:link w:val="912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2">
    <w:name w:val="Оглавление 2"/>
    <w:basedOn w:val="912"/>
    <w:next w:val="912"/>
    <w:link w:val="912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3">
    <w:name w:val=" Знак Знак1 Знак Знак"/>
    <w:basedOn w:val="912"/>
    <w:next w:val="933"/>
    <w:link w:val="91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4">
    <w:name w:val="Название Знак"/>
    <w:next w:val="934"/>
    <w:link w:val="922"/>
    <w:rPr>
      <w:b/>
      <w:sz w:val="24"/>
    </w:rPr>
  </w:style>
  <w:style w:type="character" w:styleId="935">
    <w:name w:val="Нижний колонтитул Знак"/>
    <w:next w:val="935"/>
    <w:link w:val="924"/>
    <w:uiPriority w:val="99"/>
    <w:rPr>
      <w:sz w:val="28"/>
    </w:rPr>
  </w:style>
  <w:style w:type="character" w:styleId="936">
    <w:name w:val="Верхний колонтитул Знак"/>
    <w:next w:val="936"/>
    <w:link w:val="920"/>
    <w:uiPriority w:val="99"/>
    <w:rPr>
      <w:sz w:val="28"/>
      <w:szCs w:val="28"/>
    </w:rPr>
  </w:style>
  <w:style w:type="paragraph" w:styleId="937">
    <w:name w:val="Текст выноски"/>
    <w:basedOn w:val="912"/>
    <w:next w:val="937"/>
    <w:link w:val="938"/>
    <w:rPr>
      <w:rFonts w:ascii="Tahoma" w:hAnsi="Tahoma" w:cs="Tahoma"/>
      <w:sz w:val="16"/>
      <w:szCs w:val="16"/>
    </w:rPr>
  </w:style>
  <w:style w:type="character" w:styleId="938">
    <w:name w:val="Текст выноски Знак"/>
    <w:next w:val="938"/>
    <w:link w:val="937"/>
    <w:rPr>
      <w:rFonts w:ascii="Tahoma" w:hAnsi="Tahoma" w:cs="Tahoma"/>
      <w:sz w:val="16"/>
      <w:szCs w:val="16"/>
    </w:rPr>
  </w:style>
  <w:style w:type="paragraph" w:styleId="939">
    <w:name w:val="Знак Знак1 Знак Знак"/>
    <w:basedOn w:val="912"/>
    <w:next w:val="93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0">
    <w:name w:val=" Знак Знак1 Знак Знак Знак Знак"/>
    <w:basedOn w:val="912"/>
    <w:next w:val="940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1">
    <w:name w:val=" Знак Знак1"/>
    <w:basedOn w:val="912"/>
    <w:next w:val="94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2">
    <w:name w:val=" Знак Знак1 Знак Знак Знак Знак Знак Знак Знак Знак"/>
    <w:basedOn w:val="912"/>
    <w:next w:val="942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3">
    <w:name w:val=" Знак Знак4"/>
    <w:basedOn w:val="912"/>
    <w:next w:val="943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4">
    <w:name w:val="Выделение"/>
    <w:next w:val="944"/>
    <w:link w:val="912"/>
    <w:qFormat/>
    <w:rPr>
      <w:rFonts w:cs="Times New Roman"/>
      <w:i/>
      <w:iCs/>
    </w:rPr>
  </w:style>
  <w:style w:type="paragraph" w:styleId="945">
    <w:name w:val=" Знак Знак4 Знак Знак Знак Знак1 Знак Знак Знак Знак"/>
    <w:basedOn w:val="912"/>
    <w:next w:val="94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4 Знак Знак Знак Знак"/>
    <w:basedOn w:val="912"/>
    <w:next w:val="94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 Знак Знак"/>
    <w:basedOn w:val="912"/>
    <w:next w:val="94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8">
    <w:name w:val=" Знак Знак4 Знак Знак Знак Знак1"/>
    <w:basedOn w:val="912"/>
    <w:next w:val="94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9">
    <w:name w:val=" Знак Знак5"/>
    <w:basedOn w:val="912"/>
    <w:next w:val="949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Знак Знак Знак2 Знак"/>
    <w:basedOn w:val="912"/>
    <w:next w:val="950"/>
    <w:link w:val="912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1">
    <w:name w:val="1"/>
    <w:basedOn w:val="912"/>
    <w:next w:val="951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2">
    <w:name w:val="Знак примечания"/>
    <w:next w:val="952"/>
    <w:link w:val="912"/>
    <w:uiPriority w:val="99"/>
    <w:unhideWhenUsed/>
    <w:rPr>
      <w:sz w:val="16"/>
      <w:szCs w:val="16"/>
    </w:rPr>
  </w:style>
  <w:style w:type="character" w:styleId="953">
    <w:name w:val="Основной текст (2)_"/>
    <w:next w:val="953"/>
    <w:link w:val="954"/>
    <w:rPr>
      <w:sz w:val="26"/>
      <w:szCs w:val="26"/>
      <w:shd w:val="clear" w:color="auto" w:fill="ffffff"/>
    </w:rPr>
  </w:style>
  <w:style w:type="paragraph" w:styleId="954">
    <w:name w:val="Основной текст (2)"/>
    <w:basedOn w:val="912"/>
    <w:next w:val="954"/>
    <w:link w:val="953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5">
    <w:name w:val="Абзац списка"/>
    <w:basedOn w:val="912"/>
    <w:next w:val="955"/>
    <w:link w:val="912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56">
    <w:name w:val="Текст примечания"/>
    <w:basedOn w:val="912"/>
    <w:next w:val="956"/>
    <w:link w:val="957"/>
    <w:rPr>
      <w:sz w:val="20"/>
    </w:rPr>
  </w:style>
  <w:style w:type="character" w:styleId="957">
    <w:name w:val="Текст примечания Знак"/>
    <w:basedOn w:val="913"/>
    <w:next w:val="957"/>
    <w:link w:val="956"/>
  </w:style>
  <w:style w:type="paragraph" w:styleId="958">
    <w:name w:val="Тема примечания"/>
    <w:basedOn w:val="956"/>
    <w:next w:val="956"/>
    <w:link w:val="959"/>
    <w:rPr>
      <w:b/>
      <w:bCs/>
    </w:rPr>
  </w:style>
  <w:style w:type="character" w:styleId="959">
    <w:name w:val="Тема примечания Знак"/>
    <w:next w:val="959"/>
    <w:link w:val="958"/>
    <w:rPr>
      <w:b/>
      <w:bCs/>
    </w:rPr>
  </w:style>
  <w:style w:type="numbering" w:styleId="960">
    <w:name w:val="Нет списка1"/>
    <w:next w:val="915"/>
    <w:link w:val="912"/>
    <w:uiPriority w:val="99"/>
    <w:semiHidden/>
    <w:unhideWhenUsed/>
  </w:style>
  <w:style w:type="numbering" w:styleId="961">
    <w:name w:val="Нет списка11"/>
    <w:next w:val="915"/>
    <w:link w:val="912"/>
    <w:semiHidden/>
  </w:style>
  <w:style w:type="paragraph" w:styleId="962">
    <w:name w:val="Обычный1"/>
    <w:next w:val="962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3">
    <w:name w:val="Сетка таблицы1"/>
    <w:basedOn w:val="914"/>
    <w:next w:val="919"/>
    <w:link w:val="912"/>
    <w:tblPr/>
  </w:style>
  <w:style w:type="paragraph" w:styleId="964">
    <w:name w:val="Знак Знак1"/>
    <w:basedOn w:val="912"/>
    <w:next w:val="964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5">
    <w:name w:val="Знак Знак1 Знак Знак Знак Знак"/>
    <w:basedOn w:val="912"/>
    <w:next w:val="965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6">
    <w:name w:val="Знак Знак1 Знак Знак Знак Знак Знак Знак Знак Знак"/>
    <w:basedOn w:val="912"/>
    <w:next w:val="966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7">
    <w:name w:val="Знак Знак4"/>
    <w:basedOn w:val="912"/>
    <w:next w:val="967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8">
    <w:name w:val="Знак Знак5"/>
    <w:basedOn w:val="912"/>
    <w:next w:val="968"/>
    <w:link w:val="91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69">
    <w:name w:val="Нет списка111"/>
    <w:next w:val="915"/>
    <w:link w:val="912"/>
    <w:uiPriority w:val="99"/>
    <w:semiHidden/>
    <w:unhideWhenUsed/>
  </w:style>
  <w:style w:type="character" w:styleId="970">
    <w:name w:val="Заголовок Знак"/>
    <w:next w:val="970"/>
    <w:link w:val="912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1">
    <w:name w:val="Нет списка2"/>
    <w:next w:val="915"/>
    <w:link w:val="912"/>
    <w:semiHidden/>
  </w:style>
  <w:style w:type="numbering" w:styleId="972">
    <w:name w:val="Нет списка12"/>
    <w:next w:val="915"/>
    <w:link w:val="912"/>
    <w:uiPriority w:val="99"/>
    <w:semiHidden/>
    <w:unhideWhenUsed/>
  </w:style>
  <w:style w:type="numbering" w:styleId="973">
    <w:name w:val="Нет списка3"/>
    <w:next w:val="915"/>
    <w:link w:val="912"/>
    <w:semiHidden/>
  </w:style>
  <w:style w:type="paragraph" w:styleId="974">
    <w:name w:val="Обычный2"/>
    <w:next w:val="974"/>
    <w:link w:val="91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5">
    <w:name w:val="Сетка таблицы2"/>
    <w:basedOn w:val="914"/>
    <w:next w:val="919"/>
    <w:link w:val="912"/>
    <w:tblPr/>
  </w:style>
  <w:style w:type="character" w:styleId="976">
    <w:name w:val="ConsPlusNormal Знак"/>
    <w:next w:val="976"/>
    <w:link w:val="929"/>
    <w:rPr>
      <w:rFonts w:ascii="Arial" w:hAnsi="Arial" w:cs="Arial"/>
    </w:rPr>
  </w:style>
  <w:style w:type="character" w:styleId="977">
    <w:name w:val="Гиперссылка"/>
    <w:next w:val="977"/>
    <w:link w:val="912"/>
    <w:uiPriority w:val="99"/>
    <w:unhideWhenUsed/>
    <w:rPr>
      <w:color w:val="0563c1"/>
      <w:u w:val="single"/>
    </w:rPr>
  </w:style>
  <w:style w:type="character" w:styleId="978">
    <w:name w:val="Просмотренная гиперссылка"/>
    <w:next w:val="978"/>
    <w:link w:val="912"/>
    <w:uiPriority w:val="99"/>
    <w:unhideWhenUsed/>
    <w:rPr>
      <w:color w:val="954f72"/>
      <w:u w:val="single"/>
    </w:rPr>
  </w:style>
  <w:style w:type="paragraph" w:styleId="979">
    <w:name w:val="msonormal"/>
    <w:basedOn w:val="912"/>
    <w:next w:val="979"/>
    <w:link w:val="912"/>
    <w:pPr>
      <w:spacing w:before="100" w:beforeAutospacing="1" w:after="100" w:afterAutospacing="1"/>
    </w:pPr>
    <w:rPr>
      <w:sz w:val="24"/>
      <w:szCs w:val="24"/>
    </w:rPr>
  </w:style>
  <w:style w:type="paragraph" w:styleId="980">
    <w:name w:val="font5"/>
    <w:basedOn w:val="912"/>
    <w:next w:val="980"/>
    <w:link w:val="912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1">
    <w:name w:val="xl66"/>
    <w:basedOn w:val="912"/>
    <w:next w:val="98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2">
    <w:name w:val="xl67"/>
    <w:basedOn w:val="912"/>
    <w:next w:val="982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3">
    <w:name w:val="xl68"/>
    <w:basedOn w:val="912"/>
    <w:next w:val="98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4">
    <w:name w:val="xl69"/>
    <w:basedOn w:val="912"/>
    <w:next w:val="984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5">
    <w:name w:val="xl70"/>
    <w:basedOn w:val="912"/>
    <w:next w:val="985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6">
    <w:name w:val="xl71"/>
    <w:basedOn w:val="912"/>
    <w:next w:val="98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87">
    <w:name w:val="xl72"/>
    <w:basedOn w:val="912"/>
    <w:next w:val="987"/>
    <w:link w:val="912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88">
    <w:name w:val="xl73"/>
    <w:basedOn w:val="912"/>
    <w:next w:val="988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4"/>
    <w:basedOn w:val="912"/>
    <w:next w:val="989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0">
    <w:name w:val="xl75"/>
    <w:basedOn w:val="912"/>
    <w:next w:val="99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1">
    <w:name w:val="xl76"/>
    <w:basedOn w:val="912"/>
    <w:next w:val="991"/>
    <w:link w:val="912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2">
    <w:name w:val="xl77"/>
    <w:basedOn w:val="912"/>
    <w:next w:val="99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3">
    <w:name w:val="xl78"/>
    <w:basedOn w:val="912"/>
    <w:next w:val="993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4">
    <w:name w:val="xl79"/>
    <w:basedOn w:val="912"/>
    <w:next w:val="99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5">
    <w:name w:val="xl80"/>
    <w:basedOn w:val="912"/>
    <w:next w:val="99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6">
    <w:name w:val="xl81"/>
    <w:basedOn w:val="912"/>
    <w:next w:val="99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7">
    <w:name w:val="xl82"/>
    <w:basedOn w:val="912"/>
    <w:next w:val="99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98">
    <w:name w:val="xl83"/>
    <w:basedOn w:val="912"/>
    <w:next w:val="99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4"/>
    <w:basedOn w:val="912"/>
    <w:next w:val="99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0">
    <w:name w:val="xl85"/>
    <w:basedOn w:val="912"/>
    <w:next w:val="100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6"/>
    <w:basedOn w:val="912"/>
    <w:next w:val="100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7"/>
    <w:basedOn w:val="912"/>
    <w:next w:val="100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8"/>
    <w:basedOn w:val="912"/>
    <w:next w:val="100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4">
    <w:name w:val="xl89"/>
    <w:basedOn w:val="912"/>
    <w:next w:val="1004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90"/>
    <w:basedOn w:val="912"/>
    <w:next w:val="100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6">
    <w:name w:val="xl91"/>
    <w:basedOn w:val="912"/>
    <w:next w:val="100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7">
    <w:name w:val="xl92"/>
    <w:basedOn w:val="912"/>
    <w:next w:val="100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08">
    <w:name w:val="xl93"/>
    <w:basedOn w:val="912"/>
    <w:next w:val="100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9">
    <w:name w:val="xl94"/>
    <w:basedOn w:val="912"/>
    <w:next w:val="100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5"/>
    <w:basedOn w:val="912"/>
    <w:next w:val="1010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1">
    <w:name w:val="xl96"/>
    <w:basedOn w:val="912"/>
    <w:next w:val="1011"/>
    <w:link w:val="91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2">
    <w:name w:val="xl97"/>
    <w:basedOn w:val="912"/>
    <w:next w:val="1012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8"/>
    <w:basedOn w:val="912"/>
    <w:next w:val="1013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4">
    <w:name w:val="xl99"/>
    <w:basedOn w:val="912"/>
    <w:next w:val="1014"/>
    <w:link w:val="91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5">
    <w:name w:val="xl100"/>
    <w:basedOn w:val="912"/>
    <w:next w:val="101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101"/>
    <w:basedOn w:val="912"/>
    <w:next w:val="1016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102"/>
    <w:basedOn w:val="912"/>
    <w:next w:val="1017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103"/>
    <w:basedOn w:val="912"/>
    <w:next w:val="101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9">
    <w:name w:val="xl104"/>
    <w:basedOn w:val="912"/>
    <w:next w:val="101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0">
    <w:name w:val="xl105"/>
    <w:basedOn w:val="912"/>
    <w:next w:val="1020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6"/>
    <w:basedOn w:val="912"/>
    <w:next w:val="1021"/>
    <w:link w:val="91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7"/>
    <w:basedOn w:val="912"/>
    <w:next w:val="1022"/>
    <w:link w:val="912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3">
    <w:name w:val="xl108"/>
    <w:basedOn w:val="912"/>
    <w:next w:val="1023"/>
    <w:link w:val="912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4">
    <w:name w:val="xl109"/>
    <w:basedOn w:val="912"/>
    <w:next w:val="1024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10"/>
    <w:basedOn w:val="912"/>
    <w:next w:val="1025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11"/>
    <w:basedOn w:val="912"/>
    <w:next w:val="1026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12"/>
    <w:basedOn w:val="912"/>
    <w:next w:val="1027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8">
    <w:name w:val="xl113"/>
    <w:basedOn w:val="912"/>
    <w:next w:val="1028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9">
    <w:name w:val="xl114"/>
    <w:basedOn w:val="912"/>
    <w:next w:val="1029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0">
    <w:name w:val="xl115"/>
    <w:basedOn w:val="912"/>
    <w:next w:val="1030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116"/>
    <w:basedOn w:val="912"/>
    <w:next w:val="1031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2">
    <w:name w:val="xl117"/>
    <w:basedOn w:val="912"/>
    <w:next w:val="1032"/>
    <w:link w:val="912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3">
    <w:name w:val="xl118"/>
    <w:basedOn w:val="912"/>
    <w:next w:val="1033"/>
    <w:link w:val="91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4">
    <w:name w:val="xl119"/>
    <w:basedOn w:val="912"/>
    <w:next w:val="1034"/>
    <w:link w:val="912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5">
    <w:name w:val="xl120"/>
    <w:basedOn w:val="912"/>
    <w:next w:val="1035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36">
    <w:name w:val="xl121"/>
    <w:basedOn w:val="912"/>
    <w:next w:val="103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7">
    <w:name w:val="xl122"/>
    <w:basedOn w:val="912"/>
    <w:next w:val="1037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8">
    <w:name w:val="xl123"/>
    <w:basedOn w:val="912"/>
    <w:next w:val="1038"/>
    <w:link w:val="91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9">
    <w:name w:val="xl124"/>
    <w:basedOn w:val="912"/>
    <w:next w:val="1039"/>
    <w:link w:val="912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0">
    <w:name w:val="xl125"/>
    <w:basedOn w:val="912"/>
    <w:next w:val="104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1">
    <w:name w:val="xl126"/>
    <w:basedOn w:val="912"/>
    <w:next w:val="1041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2">
    <w:name w:val="xl127"/>
    <w:basedOn w:val="912"/>
    <w:next w:val="1042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3">
    <w:name w:val="xl128"/>
    <w:basedOn w:val="912"/>
    <w:next w:val="104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9"/>
    <w:basedOn w:val="912"/>
    <w:next w:val="104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5">
    <w:name w:val="xl130"/>
    <w:basedOn w:val="912"/>
    <w:next w:val="1045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31"/>
    <w:basedOn w:val="912"/>
    <w:next w:val="1046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32"/>
    <w:basedOn w:val="912"/>
    <w:next w:val="1047"/>
    <w:link w:val="91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33"/>
    <w:basedOn w:val="912"/>
    <w:next w:val="1048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134"/>
    <w:basedOn w:val="912"/>
    <w:next w:val="1049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0">
    <w:name w:val="xl135"/>
    <w:basedOn w:val="912"/>
    <w:next w:val="105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1">
    <w:name w:val="xl136"/>
    <w:basedOn w:val="912"/>
    <w:next w:val="105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2">
    <w:name w:val="xl137"/>
    <w:basedOn w:val="912"/>
    <w:next w:val="1052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8"/>
    <w:basedOn w:val="912"/>
    <w:next w:val="1053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9"/>
    <w:basedOn w:val="912"/>
    <w:next w:val="1054"/>
    <w:link w:val="91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5">
    <w:name w:val="xl140"/>
    <w:basedOn w:val="912"/>
    <w:next w:val="1055"/>
    <w:link w:val="91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41"/>
    <w:basedOn w:val="912"/>
    <w:next w:val="1056"/>
    <w:link w:val="91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57">
    <w:name w:val="xl142"/>
    <w:basedOn w:val="912"/>
    <w:next w:val="1057"/>
    <w:link w:val="912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58">
    <w:name w:val="xl143"/>
    <w:basedOn w:val="912"/>
    <w:next w:val="1058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9">
    <w:name w:val="xl144"/>
    <w:basedOn w:val="912"/>
    <w:next w:val="1059"/>
    <w:link w:val="91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0">
    <w:name w:val="xl145"/>
    <w:basedOn w:val="912"/>
    <w:next w:val="1060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1">
    <w:name w:val="xl146"/>
    <w:basedOn w:val="912"/>
    <w:next w:val="1061"/>
    <w:link w:val="91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2">
    <w:name w:val="xl147"/>
    <w:basedOn w:val="912"/>
    <w:next w:val="1062"/>
    <w:link w:val="912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3">
    <w:name w:val="xl148"/>
    <w:basedOn w:val="912"/>
    <w:next w:val="1063"/>
    <w:link w:val="912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4">
    <w:name w:val="xl65"/>
    <w:basedOn w:val="912"/>
    <w:next w:val="1064"/>
    <w:link w:val="91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5" w:default="1">
    <w:name w:val="Default Paragraph Font"/>
    <w:uiPriority w:val="1"/>
    <w:semiHidden/>
    <w:unhideWhenUsed/>
  </w:style>
  <w:style w:type="numbering" w:styleId="1066" w:default="1">
    <w:name w:val="No List"/>
    <w:uiPriority w:val="99"/>
    <w:semiHidden/>
    <w:unhideWhenUsed/>
  </w:style>
  <w:style w:type="table" w:styleId="10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13</cp:revision>
  <dcterms:created xsi:type="dcterms:W3CDTF">2022-02-08T09:52:00Z</dcterms:created>
  <dcterms:modified xsi:type="dcterms:W3CDTF">2025-02-17T02:08:48Z</dcterms:modified>
  <cp:version>1048576</cp:version>
</cp:coreProperties>
</file>